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1E" w:rsidRPr="00EC2E1E" w:rsidRDefault="00B75808" w:rsidP="00EC2E1E">
      <w:pPr>
        <w:rPr>
          <w:rFonts w:ascii="Arial" w:hAnsi="Arial" w:cs="Arial"/>
          <w:sz w:val="22"/>
          <w:szCs w:val="22"/>
        </w:rPr>
      </w:pPr>
      <w:r w:rsidRPr="00EC2E1E">
        <w:rPr>
          <w:rFonts w:ascii="Arial" w:hAnsi="Arial" w:cs="Arial"/>
          <w:sz w:val="22"/>
          <w:szCs w:val="22"/>
        </w:rPr>
        <w:t xml:space="preserve">DEUTE PUBLIC </w:t>
      </w:r>
      <w:r w:rsidRPr="00EC2E1E">
        <w:rPr>
          <w:rFonts w:ascii="Arial" w:hAnsi="Arial" w:cs="Arial"/>
          <w:sz w:val="22"/>
          <w:szCs w:val="22"/>
        </w:rPr>
        <w:br/>
      </w:r>
      <w:r w:rsidRPr="00EC2E1E">
        <w:rPr>
          <w:rFonts w:ascii="Arial" w:hAnsi="Arial" w:cs="Arial"/>
          <w:sz w:val="22"/>
          <w:szCs w:val="22"/>
        </w:rPr>
        <w:br/>
        <w:t xml:space="preserve">El deute públic és un instrument que usen els estats per a resoldre el problema de la falta puntual de diners, per exemple: </w:t>
      </w:r>
      <w:r w:rsidRPr="00EC2E1E">
        <w:rPr>
          <w:rFonts w:ascii="Arial" w:hAnsi="Arial" w:cs="Arial"/>
          <w:sz w:val="22"/>
          <w:szCs w:val="22"/>
        </w:rPr>
        <w:br/>
      </w:r>
      <w:r w:rsidRPr="00EC2E1E">
        <w:rPr>
          <w:rFonts w:ascii="Arial" w:hAnsi="Arial" w:cs="Arial"/>
          <w:sz w:val="22"/>
          <w:szCs w:val="22"/>
        </w:rPr>
        <w:br/>
        <w:t xml:space="preserve">• Quan es necessita un mínim de tresoreria (diners en caixa) per a afrontar els pagaments més immediats. </w:t>
      </w:r>
    </w:p>
    <w:p w:rsidR="00EC2E1E" w:rsidRPr="00EC2E1E" w:rsidRDefault="00EC2E1E" w:rsidP="00EC2E1E">
      <w:pPr>
        <w:rPr>
          <w:rFonts w:ascii="Arial" w:hAnsi="Arial" w:cs="Arial"/>
          <w:sz w:val="22"/>
          <w:szCs w:val="22"/>
        </w:rPr>
      </w:pPr>
    </w:p>
    <w:p w:rsidR="00B75808" w:rsidRPr="00EC2E1E" w:rsidRDefault="00B75808" w:rsidP="00EC2E1E">
      <w:pPr>
        <w:rPr>
          <w:rFonts w:ascii="Arial" w:hAnsi="Arial" w:cs="Arial"/>
          <w:sz w:val="22"/>
          <w:szCs w:val="22"/>
        </w:rPr>
      </w:pPr>
      <w:r w:rsidRPr="00EC2E1E">
        <w:rPr>
          <w:rFonts w:ascii="Arial" w:hAnsi="Arial" w:cs="Arial"/>
          <w:sz w:val="22"/>
          <w:szCs w:val="22"/>
        </w:rPr>
        <w:t xml:space="preserve">• Quan es necessita finançar operacions a mitjan i llarg termini, fonamentalment inversions. </w:t>
      </w:r>
      <w:r w:rsidRPr="00EC2E1E">
        <w:rPr>
          <w:rFonts w:ascii="Arial" w:hAnsi="Arial" w:cs="Arial"/>
          <w:sz w:val="22"/>
          <w:szCs w:val="22"/>
        </w:rPr>
        <w:br/>
      </w:r>
      <w:r w:rsidRPr="00EC2E1E">
        <w:rPr>
          <w:rFonts w:ascii="Arial" w:hAnsi="Arial" w:cs="Arial"/>
          <w:sz w:val="22"/>
          <w:szCs w:val="22"/>
        </w:rPr>
        <w:br/>
        <w:t xml:space="preserve">Segons el tipus específic de problema, l'Estat pot emetre (comprar o vendre) actius financers com bons, obligacions o lletres del tresor, i d'aquesta forma atendre les majors despeses que no es poden compensar amb els ingressos de la hisenda pública. </w:t>
      </w:r>
      <w:r w:rsidRPr="00EC2E1E">
        <w:rPr>
          <w:rFonts w:ascii="Arial" w:hAnsi="Arial" w:cs="Arial"/>
          <w:sz w:val="22"/>
          <w:szCs w:val="22"/>
        </w:rPr>
        <w:br/>
      </w:r>
      <w:r w:rsidRPr="00EC2E1E">
        <w:rPr>
          <w:rFonts w:ascii="Arial" w:hAnsi="Arial" w:cs="Arial"/>
          <w:sz w:val="22"/>
          <w:szCs w:val="22"/>
        </w:rPr>
        <w:br/>
        <w:t xml:space="preserve">Per exemple, en diversos països, l'Estat emet principalment tres tipus de títols: </w:t>
      </w:r>
      <w:r w:rsidRPr="00EC2E1E">
        <w:rPr>
          <w:rFonts w:ascii="Arial" w:hAnsi="Arial" w:cs="Arial"/>
          <w:sz w:val="22"/>
          <w:szCs w:val="22"/>
        </w:rPr>
        <w:br/>
      </w:r>
      <w:r w:rsidRPr="00EC2E1E">
        <w:rPr>
          <w:rFonts w:ascii="Arial" w:hAnsi="Arial" w:cs="Arial"/>
          <w:sz w:val="22"/>
          <w:szCs w:val="22"/>
        </w:rPr>
        <w:br/>
        <w:t xml:space="preserve">• Lletres del Tresor </w:t>
      </w:r>
      <w:r w:rsidRPr="00EC2E1E">
        <w:rPr>
          <w:rFonts w:ascii="Arial" w:hAnsi="Arial" w:cs="Arial"/>
          <w:sz w:val="22"/>
          <w:szCs w:val="22"/>
        </w:rPr>
        <w:br/>
      </w:r>
      <w:r w:rsidRPr="00EC2E1E">
        <w:rPr>
          <w:rFonts w:ascii="Arial" w:hAnsi="Arial" w:cs="Arial"/>
          <w:sz w:val="22"/>
          <w:szCs w:val="22"/>
        </w:rPr>
        <w:br/>
        <w:t xml:space="preserve">• Bons de l'Estat o Bons del Deute Públic </w:t>
      </w:r>
      <w:r w:rsidRPr="00EC2E1E">
        <w:rPr>
          <w:rFonts w:ascii="Arial" w:hAnsi="Arial" w:cs="Arial"/>
          <w:sz w:val="22"/>
          <w:szCs w:val="22"/>
        </w:rPr>
        <w:br/>
      </w:r>
      <w:r w:rsidRPr="00EC2E1E">
        <w:rPr>
          <w:rFonts w:ascii="Arial" w:hAnsi="Arial" w:cs="Arial"/>
          <w:sz w:val="22"/>
          <w:szCs w:val="22"/>
        </w:rPr>
        <w:br/>
        <w:t xml:space="preserve">• Obligacions de l'Estat </w:t>
      </w:r>
      <w:r w:rsidRPr="00EC2E1E">
        <w:rPr>
          <w:rFonts w:ascii="Arial" w:hAnsi="Arial" w:cs="Arial"/>
          <w:sz w:val="22"/>
          <w:szCs w:val="22"/>
        </w:rPr>
        <w:br/>
      </w:r>
      <w:r w:rsidRPr="00EC2E1E">
        <w:rPr>
          <w:rFonts w:ascii="Arial" w:hAnsi="Arial" w:cs="Arial"/>
          <w:sz w:val="22"/>
          <w:szCs w:val="22"/>
        </w:rPr>
        <w:br/>
        <w:t xml:space="preserve">Habitualment, els valors de deute són vists com instruments d'inversió molt </w:t>
      </w:r>
      <w:hyperlink r:id="rId7" w:tgtFrame="_blank" w:history="1">
        <w:r w:rsidRPr="00EC2E1E">
          <w:rPr>
            <w:rStyle w:val="Hipervnculo"/>
            <w:rFonts w:ascii="Arial" w:eastAsiaTheme="majorEastAsia" w:hAnsi="Arial" w:cs="Arial"/>
            <w:color w:val="000000" w:themeColor="text1"/>
            <w:sz w:val="22"/>
            <w:szCs w:val="22"/>
          </w:rPr>
          <w:t>confiables</w:t>
        </w:r>
      </w:hyperlink>
      <w:r w:rsidRPr="00EC2E1E">
        <w:rPr>
          <w:rFonts w:ascii="Arial" w:hAnsi="Arial" w:cs="Arial"/>
          <w:sz w:val="22"/>
          <w:szCs w:val="22"/>
        </w:rPr>
        <w:t xml:space="preserve">, a causa de la gran seguretat de </w:t>
      </w:r>
      <w:hyperlink r:id="rId8" w:tgtFrame="_blank" w:history="1">
        <w:r w:rsidRPr="00EC2E1E">
          <w:rPr>
            <w:rStyle w:val="Hipervnculo"/>
            <w:rFonts w:ascii="Arial" w:eastAsiaTheme="majorEastAsia" w:hAnsi="Arial" w:cs="Arial"/>
            <w:color w:val="000000" w:themeColor="text1"/>
            <w:sz w:val="22"/>
            <w:szCs w:val="22"/>
          </w:rPr>
          <w:t>recuperacíó</w:t>
        </w:r>
      </w:hyperlink>
      <w:r w:rsidRPr="00EC2E1E">
        <w:rPr>
          <w:rFonts w:ascii="Arial" w:hAnsi="Arial" w:cs="Arial"/>
          <w:sz w:val="22"/>
          <w:szCs w:val="22"/>
        </w:rPr>
        <w:t xml:space="preserve"> i als rendiments que generen, perquè -excepte casos excepcionals- els ens públics compleixen les seves obligacions. </w:t>
      </w:r>
      <w:r w:rsidRPr="00EC2E1E">
        <w:rPr>
          <w:rFonts w:ascii="Arial" w:hAnsi="Arial" w:cs="Arial"/>
          <w:sz w:val="22"/>
          <w:szCs w:val="22"/>
        </w:rPr>
        <w:br/>
      </w:r>
      <w:r w:rsidRPr="00EC2E1E">
        <w:rPr>
          <w:rFonts w:ascii="Arial" w:hAnsi="Arial" w:cs="Arial"/>
          <w:sz w:val="22"/>
          <w:szCs w:val="22"/>
        </w:rPr>
        <w:br/>
        <w:t xml:space="preserve">Pel mateix se'ls considera de baix risc. </w:t>
      </w:r>
      <w:r w:rsidRPr="00EC2E1E">
        <w:rPr>
          <w:rFonts w:ascii="Arial" w:hAnsi="Arial" w:cs="Arial"/>
          <w:sz w:val="22"/>
          <w:szCs w:val="22"/>
        </w:rPr>
        <w:br/>
      </w:r>
      <w:r w:rsidRPr="00EC2E1E">
        <w:rPr>
          <w:rFonts w:ascii="Arial" w:hAnsi="Arial" w:cs="Arial"/>
          <w:sz w:val="22"/>
          <w:szCs w:val="22"/>
        </w:rPr>
        <w:br/>
        <w:t xml:space="preserve">En qualsevol cas, i depenent de cada país, les agències de </w:t>
      </w:r>
      <w:hyperlink r:id="rId9" w:tgtFrame="_blank" w:history="1">
        <w:r w:rsidRPr="00EC2E1E">
          <w:rPr>
            <w:rStyle w:val="Hipervnculo"/>
            <w:rFonts w:ascii="Arial" w:eastAsiaTheme="majorEastAsia" w:hAnsi="Arial" w:cs="Arial"/>
            <w:color w:val="000000" w:themeColor="text1"/>
            <w:sz w:val="22"/>
            <w:szCs w:val="22"/>
          </w:rPr>
          <w:t>rating</w:t>
        </w:r>
      </w:hyperlink>
      <w:r w:rsidRPr="00EC2E1E">
        <w:rPr>
          <w:rFonts w:ascii="Arial" w:hAnsi="Arial" w:cs="Arial"/>
          <w:sz w:val="22"/>
          <w:szCs w:val="22"/>
        </w:rPr>
        <w:t xml:space="preserve"> qualifiquen el risc </w:t>
      </w:r>
      <w:hyperlink r:id="rId10" w:tgtFrame="_blank" w:history="1">
        <w:r w:rsidRPr="00EC2E1E">
          <w:rPr>
            <w:rStyle w:val="Hipervnculo"/>
            <w:rFonts w:ascii="Arial" w:eastAsiaTheme="majorEastAsia" w:hAnsi="Arial" w:cs="Arial"/>
            <w:color w:val="000000" w:themeColor="text1"/>
            <w:sz w:val="22"/>
            <w:szCs w:val="22"/>
          </w:rPr>
          <w:t>creditic</w:t>
        </w:r>
      </w:hyperlink>
      <w:r w:rsidRPr="00EC2E1E">
        <w:rPr>
          <w:rFonts w:ascii="Arial" w:hAnsi="Arial" w:cs="Arial"/>
          <w:sz w:val="22"/>
          <w:szCs w:val="22"/>
        </w:rPr>
        <w:t xml:space="preserve">i, que pot ser major o menor, i que serveix de referència als inversors a l'hora d'exigir un major o menor interès. </w:t>
      </w:r>
      <w:r w:rsidRPr="00EC2E1E">
        <w:rPr>
          <w:rFonts w:ascii="Arial" w:hAnsi="Arial" w:cs="Arial"/>
          <w:sz w:val="22"/>
          <w:szCs w:val="22"/>
        </w:rPr>
        <w:br/>
      </w:r>
      <w:r w:rsidRPr="00EC2E1E">
        <w:rPr>
          <w:rFonts w:ascii="Arial" w:hAnsi="Arial" w:cs="Arial"/>
          <w:sz w:val="22"/>
          <w:szCs w:val="22"/>
        </w:rPr>
        <w:br/>
        <w:t xml:space="preserve">TAULA DE CONTINGUTS </w:t>
      </w:r>
      <w:r w:rsidRPr="00EC2E1E">
        <w:rPr>
          <w:rFonts w:ascii="Arial" w:hAnsi="Arial" w:cs="Arial"/>
          <w:sz w:val="22"/>
          <w:szCs w:val="22"/>
        </w:rPr>
        <w:br/>
      </w:r>
      <w:r w:rsidRPr="00EC2E1E">
        <w:rPr>
          <w:rFonts w:ascii="Arial" w:hAnsi="Arial" w:cs="Arial"/>
          <w:sz w:val="22"/>
          <w:szCs w:val="22"/>
        </w:rPr>
        <w:br/>
        <w:t xml:space="preserve">• 1 El deute públic com mecanisme per a incentivar l'economia </w:t>
      </w:r>
      <w:r w:rsidRPr="00EC2E1E">
        <w:rPr>
          <w:rFonts w:ascii="Arial" w:hAnsi="Arial" w:cs="Arial"/>
          <w:sz w:val="22"/>
          <w:szCs w:val="22"/>
        </w:rPr>
        <w:br/>
      </w:r>
      <w:r w:rsidRPr="00EC2E1E">
        <w:rPr>
          <w:rFonts w:ascii="Arial" w:hAnsi="Arial" w:cs="Arial"/>
          <w:sz w:val="22"/>
          <w:szCs w:val="22"/>
        </w:rPr>
        <w:br/>
        <w:t xml:space="preserve">• 2 El deute públic com instrument del mercat de valors de renda fixa </w:t>
      </w:r>
      <w:r w:rsidRPr="00EC2E1E">
        <w:rPr>
          <w:rFonts w:ascii="Arial" w:hAnsi="Arial" w:cs="Arial"/>
          <w:sz w:val="22"/>
          <w:szCs w:val="22"/>
        </w:rPr>
        <w:br/>
      </w:r>
      <w:r w:rsidRPr="00EC2E1E">
        <w:rPr>
          <w:rFonts w:ascii="Arial" w:hAnsi="Arial" w:cs="Arial"/>
          <w:sz w:val="22"/>
          <w:szCs w:val="22"/>
        </w:rPr>
        <w:br/>
        <w:t xml:space="preserve">• 3 Exemple de tipus d'actius </w:t>
      </w:r>
      <w:r w:rsidRPr="00EC2E1E">
        <w:rPr>
          <w:rFonts w:ascii="Arial" w:hAnsi="Arial" w:cs="Arial"/>
          <w:sz w:val="22"/>
          <w:szCs w:val="22"/>
        </w:rPr>
        <w:br/>
      </w:r>
      <w:r w:rsidRPr="00EC2E1E">
        <w:rPr>
          <w:rFonts w:ascii="Arial" w:hAnsi="Arial" w:cs="Arial"/>
          <w:sz w:val="22"/>
          <w:szCs w:val="22"/>
        </w:rPr>
        <w:br/>
        <w:t xml:space="preserve">o 3.1 Lletres del Tresor </w:t>
      </w:r>
      <w:r w:rsidRPr="00EC2E1E">
        <w:rPr>
          <w:rFonts w:ascii="Arial" w:hAnsi="Arial" w:cs="Arial"/>
          <w:sz w:val="22"/>
          <w:szCs w:val="22"/>
        </w:rPr>
        <w:br/>
      </w:r>
      <w:r w:rsidRPr="00EC2E1E">
        <w:rPr>
          <w:rFonts w:ascii="Arial" w:hAnsi="Arial" w:cs="Arial"/>
          <w:sz w:val="22"/>
          <w:szCs w:val="22"/>
        </w:rPr>
        <w:br/>
        <w:t xml:space="preserve">o 3.2 Bons del Tresor </w:t>
      </w:r>
      <w:r w:rsidRPr="00EC2E1E">
        <w:rPr>
          <w:rFonts w:ascii="Arial" w:hAnsi="Arial" w:cs="Arial"/>
          <w:sz w:val="22"/>
          <w:szCs w:val="22"/>
        </w:rPr>
        <w:br/>
      </w:r>
      <w:r w:rsidRPr="00EC2E1E">
        <w:rPr>
          <w:rFonts w:ascii="Arial" w:hAnsi="Arial" w:cs="Arial"/>
          <w:sz w:val="22"/>
          <w:szCs w:val="22"/>
        </w:rPr>
        <w:br/>
        <w:t xml:space="preserve">o 3.3 Obligacions de l'Estat </w:t>
      </w:r>
      <w:r w:rsidRPr="00EC2E1E">
        <w:rPr>
          <w:rFonts w:ascii="Arial" w:hAnsi="Arial" w:cs="Arial"/>
          <w:sz w:val="22"/>
          <w:szCs w:val="22"/>
        </w:rPr>
        <w:br/>
      </w:r>
      <w:r w:rsidRPr="00EC2E1E">
        <w:rPr>
          <w:rFonts w:ascii="Arial" w:hAnsi="Arial" w:cs="Arial"/>
          <w:sz w:val="22"/>
          <w:szCs w:val="22"/>
        </w:rPr>
        <w:br/>
        <w:t xml:space="preserve">• 4 Enllaços externs </w:t>
      </w:r>
      <w:r w:rsidRPr="00EC2E1E">
        <w:rPr>
          <w:rFonts w:ascii="Arial" w:hAnsi="Arial" w:cs="Arial"/>
          <w:sz w:val="22"/>
          <w:szCs w:val="22"/>
        </w:rPr>
        <w:br/>
      </w:r>
      <w:r w:rsidRPr="00EC2E1E">
        <w:rPr>
          <w:rFonts w:ascii="Arial" w:hAnsi="Arial" w:cs="Arial"/>
          <w:sz w:val="22"/>
          <w:szCs w:val="22"/>
        </w:rPr>
        <w:br/>
        <w:t xml:space="preserve">EL DEUTE PÚBLIC COM MECANISME PER A INCENTIVAR L'ECONOMIA </w:t>
      </w:r>
      <w:r w:rsidRPr="00EC2E1E">
        <w:rPr>
          <w:rFonts w:ascii="Arial" w:hAnsi="Arial" w:cs="Arial"/>
          <w:sz w:val="22"/>
          <w:szCs w:val="22"/>
        </w:rPr>
        <w:br/>
      </w:r>
      <w:r w:rsidRPr="00EC2E1E">
        <w:rPr>
          <w:rFonts w:ascii="Arial" w:hAnsi="Arial" w:cs="Arial"/>
          <w:sz w:val="22"/>
          <w:szCs w:val="22"/>
        </w:rPr>
        <w:br/>
        <w:t xml:space="preserve">L'endeutament és un instrument de la política monetària i fiscal dels Estats. </w:t>
      </w:r>
    </w:p>
    <w:p w:rsidR="00EC2E1E" w:rsidRPr="00EC2E1E" w:rsidRDefault="00EC2E1E" w:rsidP="00EC2E1E">
      <w:pPr>
        <w:rPr>
          <w:rFonts w:ascii="Arial" w:hAnsi="Arial" w:cs="Arial"/>
          <w:sz w:val="22"/>
          <w:szCs w:val="22"/>
        </w:rPr>
      </w:pPr>
    </w:p>
    <w:p w:rsidR="00B75808" w:rsidRPr="00EC2E1E" w:rsidRDefault="00B75808" w:rsidP="00EC2E1E">
      <w:pPr>
        <w:rPr>
          <w:rFonts w:ascii="Arial" w:hAnsi="Arial" w:cs="Arial"/>
          <w:sz w:val="22"/>
          <w:szCs w:val="22"/>
        </w:rPr>
      </w:pPr>
      <w:r w:rsidRPr="00EC2E1E">
        <w:rPr>
          <w:rFonts w:ascii="Arial" w:hAnsi="Arial" w:cs="Arial"/>
          <w:sz w:val="22"/>
          <w:szCs w:val="22"/>
        </w:rPr>
        <w:t xml:space="preserve">Gràcies a la compravenda de títols de deute públic, un Estat pot augmentar o reduir la quantitat de diners en circulació: </w:t>
      </w:r>
      <w:r w:rsidRPr="00EC2E1E">
        <w:rPr>
          <w:rFonts w:ascii="Arial" w:hAnsi="Arial" w:cs="Arial"/>
          <w:sz w:val="22"/>
          <w:szCs w:val="22"/>
        </w:rPr>
        <w:br/>
      </w:r>
      <w:r w:rsidRPr="00EC2E1E">
        <w:rPr>
          <w:rFonts w:ascii="Arial" w:hAnsi="Arial" w:cs="Arial"/>
          <w:sz w:val="22"/>
          <w:szCs w:val="22"/>
        </w:rPr>
        <w:br/>
        <w:t xml:space="preserve">• Si hi ha inflació, sobra diners en el mercat. </w:t>
      </w:r>
    </w:p>
    <w:p w:rsidR="00B75808" w:rsidRPr="00EC2E1E" w:rsidRDefault="00B75808" w:rsidP="00EC2E1E">
      <w:pPr>
        <w:rPr>
          <w:rFonts w:ascii="Arial" w:hAnsi="Arial" w:cs="Arial"/>
          <w:sz w:val="22"/>
          <w:szCs w:val="22"/>
        </w:rPr>
      </w:pPr>
      <w:r w:rsidRPr="00EC2E1E">
        <w:rPr>
          <w:rFonts w:ascii="Arial" w:hAnsi="Arial" w:cs="Arial"/>
          <w:sz w:val="22"/>
          <w:szCs w:val="22"/>
        </w:rPr>
        <w:lastRenderedPageBreak/>
        <w:t xml:space="preserve">L'Estat pot vendre deute públic (canviar títols per diners), per a així reduir la quantitat de diners en circulació. </w:t>
      </w:r>
      <w:r w:rsidRPr="00EC2E1E">
        <w:rPr>
          <w:rFonts w:ascii="Arial" w:hAnsi="Arial" w:cs="Arial"/>
          <w:sz w:val="22"/>
          <w:szCs w:val="22"/>
        </w:rPr>
        <w:br/>
      </w:r>
      <w:r w:rsidRPr="00EC2E1E">
        <w:rPr>
          <w:rFonts w:ascii="Arial" w:hAnsi="Arial" w:cs="Arial"/>
          <w:sz w:val="22"/>
          <w:szCs w:val="22"/>
        </w:rPr>
        <w:br/>
        <w:t xml:space="preserve">• Si hi ha deflació, l'Estat pot comprar els títols de deute públic (donar diners en canvi d'ells) per a aportar més diners al mercat. </w:t>
      </w:r>
      <w:r w:rsidRPr="00EC2E1E">
        <w:rPr>
          <w:rFonts w:ascii="Arial" w:hAnsi="Arial" w:cs="Arial"/>
          <w:sz w:val="22"/>
          <w:szCs w:val="22"/>
        </w:rPr>
        <w:br/>
      </w:r>
      <w:r w:rsidRPr="00EC2E1E">
        <w:rPr>
          <w:rFonts w:ascii="Arial" w:hAnsi="Arial" w:cs="Arial"/>
          <w:sz w:val="22"/>
          <w:szCs w:val="22"/>
        </w:rPr>
        <w:br/>
        <w:t xml:space="preserve">En la Unió Europea, atès que la política monetària s'ha cedit al Banc Central Europeu, els Estats tenen límits en la quantitat de deute públic que poden emetre, atès que seria una forma d'interferir en la política monetària comuna. </w:t>
      </w:r>
      <w:r w:rsidRPr="00EC2E1E">
        <w:rPr>
          <w:rFonts w:ascii="Arial" w:hAnsi="Arial" w:cs="Arial"/>
          <w:sz w:val="22"/>
          <w:szCs w:val="22"/>
        </w:rPr>
        <w:br/>
      </w:r>
      <w:r w:rsidRPr="00EC2E1E">
        <w:rPr>
          <w:rFonts w:ascii="Arial" w:hAnsi="Arial" w:cs="Arial"/>
          <w:sz w:val="22"/>
          <w:szCs w:val="22"/>
        </w:rPr>
        <w:br/>
        <w:t xml:space="preserve">EL DEUTE PÚBLIC COM INSTRUMENT DEL MERCAT DE VALORS DE RENDA FIXA </w:t>
      </w:r>
      <w:r w:rsidRPr="00EC2E1E">
        <w:rPr>
          <w:rFonts w:ascii="Arial" w:hAnsi="Arial" w:cs="Arial"/>
          <w:sz w:val="22"/>
          <w:szCs w:val="22"/>
        </w:rPr>
        <w:br/>
      </w:r>
      <w:r w:rsidRPr="00EC2E1E">
        <w:rPr>
          <w:rFonts w:ascii="Arial" w:hAnsi="Arial" w:cs="Arial"/>
          <w:sz w:val="22"/>
          <w:szCs w:val="22"/>
        </w:rPr>
        <w:br/>
        <w:t xml:space="preserve">El deute públic s'estructura a termini fix. </w:t>
      </w:r>
      <w:r w:rsidRPr="00EC2E1E">
        <w:rPr>
          <w:rFonts w:ascii="Arial" w:hAnsi="Arial" w:cs="Arial"/>
          <w:sz w:val="22"/>
          <w:szCs w:val="22"/>
        </w:rPr>
        <w:br/>
      </w:r>
      <w:r w:rsidRPr="00EC2E1E">
        <w:rPr>
          <w:rFonts w:ascii="Arial" w:hAnsi="Arial" w:cs="Arial"/>
          <w:sz w:val="22"/>
          <w:szCs w:val="22"/>
        </w:rPr>
        <w:br/>
        <w:t xml:space="preserve">Fins al venciment no es recupera la inversió. </w:t>
      </w:r>
    </w:p>
    <w:p w:rsidR="00EC2E1E" w:rsidRPr="00EC2E1E" w:rsidRDefault="00B75808" w:rsidP="00EC2E1E">
      <w:pPr>
        <w:rPr>
          <w:rFonts w:ascii="Arial" w:hAnsi="Arial" w:cs="Arial"/>
          <w:sz w:val="22"/>
          <w:szCs w:val="22"/>
        </w:rPr>
      </w:pPr>
      <w:r w:rsidRPr="00EC2E1E">
        <w:rPr>
          <w:rFonts w:ascii="Arial" w:hAnsi="Arial" w:cs="Arial"/>
          <w:sz w:val="22"/>
          <w:szCs w:val="22"/>
        </w:rPr>
        <w:t xml:space="preserve">Per això, als estats els interessa l'existència d'un mercat de valors en el qual es negociïn els títols. </w:t>
      </w:r>
      <w:r w:rsidRPr="00EC2E1E">
        <w:rPr>
          <w:rFonts w:ascii="Arial" w:hAnsi="Arial" w:cs="Arial"/>
          <w:sz w:val="22"/>
          <w:szCs w:val="22"/>
        </w:rPr>
        <w:br/>
      </w:r>
      <w:r w:rsidRPr="00EC2E1E">
        <w:rPr>
          <w:rFonts w:ascii="Arial" w:hAnsi="Arial" w:cs="Arial"/>
          <w:sz w:val="22"/>
          <w:szCs w:val="22"/>
        </w:rPr>
        <w:br/>
        <w:t xml:space="preserve">D'aquesta forma, si una persona vol recuperar la seva inversió, busca un comprador dels seus títols, que li pagarà una mica més del que a ell li va costar el títol (encara que el preu depèn de l'evolució dels tipus d'interès). </w:t>
      </w:r>
      <w:r w:rsidRPr="00EC2E1E">
        <w:rPr>
          <w:rFonts w:ascii="Arial" w:hAnsi="Arial" w:cs="Arial"/>
          <w:sz w:val="22"/>
          <w:szCs w:val="22"/>
        </w:rPr>
        <w:br/>
      </w:r>
      <w:r w:rsidRPr="00EC2E1E">
        <w:rPr>
          <w:rFonts w:ascii="Arial" w:hAnsi="Arial" w:cs="Arial"/>
          <w:sz w:val="22"/>
          <w:szCs w:val="22"/>
        </w:rPr>
        <w:br/>
        <w:t xml:space="preserve">Això fa molt més atractiva el deute públic per als inversors, a l'augmentar la liquiditat. </w:t>
      </w:r>
      <w:r w:rsidRPr="00EC2E1E">
        <w:rPr>
          <w:rFonts w:ascii="Arial" w:hAnsi="Arial" w:cs="Arial"/>
          <w:sz w:val="22"/>
          <w:szCs w:val="22"/>
        </w:rPr>
        <w:br/>
      </w:r>
      <w:r w:rsidRPr="00EC2E1E">
        <w:rPr>
          <w:rFonts w:ascii="Arial" w:hAnsi="Arial" w:cs="Arial"/>
          <w:sz w:val="22"/>
          <w:szCs w:val="22"/>
        </w:rPr>
        <w:br/>
        <w:t xml:space="preserve">Històricament, els mercats de valors neixen com negociació de deute privat i posteriorment comencen a negociar deute públic. </w:t>
      </w:r>
      <w:r w:rsidRPr="00EC2E1E">
        <w:rPr>
          <w:rFonts w:ascii="Arial" w:hAnsi="Arial" w:cs="Arial"/>
          <w:sz w:val="22"/>
          <w:szCs w:val="22"/>
        </w:rPr>
        <w:br/>
      </w:r>
      <w:r w:rsidRPr="00EC2E1E">
        <w:rPr>
          <w:rFonts w:ascii="Arial" w:hAnsi="Arial" w:cs="Arial"/>
          <w:sz w:val="22"/>
          <w:szCs w:val="22"/>
        </w:rPr>
        <w:br/>
        <w:t xml:space="preserve">EXEMPLE DE TIPUS D'ACTIUS </w:t>
      </w:r>
      <w:r w:rsidRPr="00EC2E1E">
        <w:rPr>
          <w:rFonts w:ascii="Arial" w:hAnsi="Arial" w:cs="Arial"/>
          <w:sz w:val="22"/>
          <w:szCs w:val="22"/>
        </w:rPr>
        <w:br/>
      </w:r>
      <w:r w:rsidRPr="00EC2E1E">
        <w:rPr>
          <w:rFonts w:ascii="Arial" w:hAnsi="Arial" w:cs="Arial"/>
          <w:sz w:val="22"/>
          <w:szCs w:val="22"/>
        </w:rPr>
        <w:br/>
      </w:r>
      <w:r w:rsidRPr="00EC2E1E">
        <w:rPr>
          <w:rFonts w:ascii="Arial" w:hAnsi="Arial" w:cs="Arial"/>
          <w:b/>
          <w:sz w:val="22"/>
          <w:szCs w:val="22"/>
        </w:rPr>
        <w:t xml:space="preserve">Lletres del tresor </w:t>
      </w:r>
      <w:r w:rsidRPr="00EC2E1E">
        <w:rPr>
          <w:rFonts w:ascii="Arial" w:hAnsi="Arial" w:cs="Arial"/>
          <w:b/>
          <w:sz w:val="22"/>
          <w:szCs w:val="22"/>
        </w:rPr>
        <w:br/>
      </w:r>
      <w:r w:rsidRPr="00EC2E1E">
        <w:rPr>
          <w:rFonts w:ascii="Arial" w:hAnsi="Arial" w:cs="Arial"/>
          <w:sz w:val="22"/>
          <w:szCs w:val="22"/>
        </w:rPr>
        <w:br/>
        <w:t xml:space="preserve">• Emeses en subhasta cada 15 dies. </w:t>
      </w:r>
    </w:p>
    <w:p w:rsidR="00EC2E1E" w:rsidRPr="00EC2E1E" w:rsidRDefault="00EC2E1E" w:rsidP="00EC2E1E">
      <w:pPr>
        <w:rPr>
          <w:rFonts w:ascii="Arial" w:hAnsi="Arial" w:cs="Arial"/>
          <w:sz w:val="22"/>
          <w:szCs w:val="22"/>
        </w:rPr>
      </w:pPr>
    </w:p>
    <w:p w:rsidR="00B75808" w:rsidRPr="00EC2E1E" w:rsidRDefault="00B75808" w:rsidP="00EC2E1E">
      <w:pPr>
        <w:rPr>
          <w:rFonts w:ascii="Arial" w:hAnsi="Arial" w:cs="Arial"/>
          <w:sz w:val="22"/>
          <w:szCs w:val="22"/>
        </w:rPr>
      </w:pPr>
      <w:r w:rsidRPr="00EC2E1E">
        <w:rPr>
          <w:rFonts w:ascii="Arial" w:hAnsi="Arial" w:cs="Arial"/>
          <w:sz w:val="22"/>
          <w:szCs w:val="22"/>
        </w:rPr>
        <w:t xml:space="preserve">• Termini: 12 mesos, 18 mesos. </w:t>
      </w:r>
      <w:r w:rsidRPr="00EC2E1E">
        <w:rPr>
          <w:rFonts w:ascii="Arial" w:hAnsi="Arial" w:cs="Arial"/>
          <w:sz w:val="22"/>
          <w:szCs w:val="22"/>
        </w:rPr>
        <w:br/>
      </w:r>
      <w:r w:rsidRPr="00EC2E1E">
        <w:rPr>
          <w:rFonts w:ascii="Arial" w:hAnsi="Arial" w:cs="Arial"/>
          <w:sz w:val="22"/>
          <w:szCs w:val="22"/>
        </w:rPr>
        <w:br/>
        <w:t xml:space="preserve">• Sense retenció fiscal. </w:t>
      </w:r>
      <w:r w:rsidRPr="00EC2E1E">
        <w:rPr>
          <w:rFonts w:ascii="Arial" w:hAnsi="Arial" w:cs="Arial"/>
          <w:sz w:val="22"/>
          <w:szCs w:val="22"/>
        </w:rPr>
        <w:br/>
      </w:r>
      <w:r w:rsidRPr="00EC2E1E">
        <w:rPr>
          <w:rFonts w:ascii="Arial" w:hAnsi="Arial" w:cs="Arial"/>
          <w:sz w:val="22"/>
          <w:szCs w:val="22"/>
        </w:rPr>
        <w:br/>
        <w:t xml:space="preserve">Tenen un valor nominal de 1000 euros i s'emeten al descompte de manera que el comprador (en el mercat primari) d'un d'aquests títols desemborsa una quantitat inferior a aquesta xifra i al seu venciment recupera 1000 euros. </w:t>
      </w:r>
      <w:r w:rsidRPr="00EC2E1E">
        <w:rPr>
          <w:rFonts w:ascii="Arial" w:hAnsi="Arial" w:cs="Arial"/>
          <w:sz w:val="22"/>
          <w:szCs w:val="22"/>
        </w:rPr>
        <w:br/>
      </w:r>
      <w:r w:rsidRPr="00EC2E1E">
        <w:rPr>
          <w:rFonts w:ascii="Arial" w:hAnsi="Arial" w:cs="Arial"/>
          <w:sz w:val="22"/>
          <w:szCs w:val="22"/>
        </w:rPr>
        <w:br/>
      </w:r>
      <w:r w:rsidRPr="00EC2E1E">
        <w:rPr>
          <w:rFonts w:ascii="Arial" w:hAnsi="Arial" w:cs="Arial"/>
          <w:b/>
          <w:sz w:val="22"/>
          <w:szCs w:val="22"/>
        </w:rPr>
        <w:t xml:space="preserve">Bons del tresor </w:t>
      </w:r>
      <w:r w:rsidRPr="00EC2E1E">
        <w:rPr>
          <w:rFonts w:ascii="Arial" w:hAnsi="Arial" w:cs="Arial"/>
          <w:sz w:val="22"/>
          <w:szCs w:val="22"/>
        </w:rPr>
        <w:br/>
      </w:r>
      <w:r w:rsidRPr="00EC2E1E">
        <w:rPr>
          <w:rFonts w:ascii="Arial" w:hAnsi="Arial" w:cs="Arial"/>
          <w:sz w:val="22"/>
          <w:szCs w:val="22"/>
        </w:rPr>
        <w:br/>
        <w:t xml:space="preserve">• Subhasta una vegada al mes. </w:t>
      </w:r>
      <w:r w:rsidRPr="00EC2E1E">
        <w:rPr>
          <w:rFonts w:ascii="Arial" w:hAnsi="Arial" w:cs="Arial"/>
          <w:sz w:val="22"/>
          <w:szCs w:val="22"/>
        </w:rPr>
        <w:br/>
      </w:r>
      <w:r w:rsidRPr="00EC2E1E">
        <w:rPr>
          <w:rFonts w:ascii="Arial" w:hAnsi="Arial" w:cs="Arial"/>
          <w:sz w:val="22"/>
          <w:szCs w:val="22"/>
        </w:rPr>
        <w:br/>
        <w:t xml:space="preserve">• Termini: 3 o 5 anys. </w:t>
      </w:r>
      <w:r w:rsidRPr="00EC2E1E">
        <w:rPr>
          <w:rFonts w:ascii="Arial" w:hAnsi="Arial" w:cs="Arial"/>
          <w:sz w:val="22"/>
          <w:szCs w:val="22"/>
        </w:rPr>
        <w:br/>
      </w:r>
      <w:r w:rsidRPr="00EC2E1E">
        <w:rPr>
          <w:rFonts w:ascii="Arial" w:hAnsi="Arial" w:cs="Arial"/>
          <w:sz w:val="22"/>
          <w:szCs w:val="22"/>
        </w:rPr>
        <w:br/>
        <w:t xml:space="preserve">OBLIGACIONS DE L'ESTAT </w:t>
      </w:r>
      <w:r w:rsidRPr="00EC2E1E">
        <w:rPr>
          <w:rFonts w:ascii="Arial" w:hAnsi="Arial" w:cs="Arial"/>
          <w:sz w:val="22"/>
          <w:szCs w:val="22"/>
        </w:rPr>
        <w:br/>
      </w:r>
      <w:r w:rsidRPr="00EC2E1E">
        <w:rPr>
          <w:rFonts w:ascii="Arial" w:hAnsi="Arial" w:cs="Arial"/>
          <w:sz w:val="22"/>
          <w:szCs w:val="22"/>
        </w:rPr>
        <w:br/>
        <w:t xml:space="preserve">• Subhasta una vegada al mes. </w:t>
      </w:r>
      <w:r w:rsidRPr="00EC2E1E">
        <w:rPr>
          <w:rFonts w:ascii="Arial" w:hAnsi="Arial" w:cs="Arial"/>
          <w:sz w:val="22"/>
          <w:szCs w:val="22"/>
        </w:rPr>
        <w:br/>
      </w:r>
      <w:r w:rsidRPr="00EC2E1E">
        <w:rPr>
          <w:rFonts w:ascii="Arial" w:hAnsi="Arial" w:cs="Arial"/>
          <w:sz w:val="22"/>
          <w:szCs w:val="22"/>
        </w:rPr>
        <w:br/>
        <w:t xml:space="preserve">• Termini: 10 anys.  </w:t>
      </w:r>
    </w:p>
    <w:sectPr w:rsidR="00B75808" w:rsidRPr="00EC2E1E" w:rsidSect="002C2F0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91E" w:rsidRDefault="0063791E" w:rsidP="00B75808">
      <w:r>
        <w:separator/>
      </w:r>
    </w:p>
  </w:endnote>
  <w:endnote w:type="continuationSeparator" w:id="1">
    <w:p w:rsidR="0063791E" w:rsidRDefault="0063791E" w:rsidP="00B758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08" w:rsidRDefault="00B7580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08" w:rsidRDefault="00B7580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08" w:rsidRDefault="00B758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91E" w:rsidRDefault="0063791E" w:rsidP="00B75808">
      <w:r>
        <w:separator/>
      </w:r>
    </w:p>
  </w:footnote>
  <w:footnote w:type="continuationSeparator" w:id="1">
    <w:p w:rsidR="0063791E" w:rsidRDefault="0063791E" w:rsidP="00B75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08" w:rsidRDefault="00B7580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472"/>
      <w:docPartObj>
        <w:docPartGallery w:val="Page Numbers (Top of Page)"/>
        <w:docPartUnique/>
      </w:docPartObj>
    </w:sdtPr>
    <w:sdtContent>
      <w:p w:rsidR="00B75808" w:rsidRDefault="00006FD7">
        <w:pPr>
          <w:pStyle w:val="Encabezado"/>
          <w:jc w:val="right"/>
        </w:pPr>
        <w:fldSimple w:instr=" PAGE   \* MERGEFORMAT ">
          <w:r w:rsidR="00EC2E1E">
            <w:rPr>
              <w:noProof/>
            </w:rPr>
            <w:t>1</w:t>
          </w:r>
        </w:fldSimple>
      </w:p>
    </w:sdtContent>
  </w:sdt>
  <w:p w:rsidR="00B75808" w:rsidRDefault="00B7580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08" w:rsidRDefault="00B758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000"/>
    <w:multiLevelType w:val="multilevel"/>
    <w:tmpl w:val="0ED0B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3229C8"/>
    <w:multiLevelType w:val="multilevel"/>
    <w:tmpl w:val="0ED0B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A9154E"/>
    <w:multiLevelType w:val="multilevel"/>
    <w:tmpl w:val="0ED0B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DE04F6"/>
    <w:multiLevelType w:val="multilevel"/>
    <w:tmpl w:val="0ED0B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4162C3"/>
    <w:multiLevelType w:val="multilevel"/>
    <w:tmpl w:val="0ED0B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0057B5"/>
    <w:multiLevelType w:val="multilevel"/>
    <w:tmpl w:val="0ED0B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4187C7F"/>
    <w:multiLevelType w:val="multilevel"/>
    <w:tmpl w:val="0ED0B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5E428B"/>
    <w:multiLevelType w:val="multilevel"/>
    <w:tmpl w:val="0ED0B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DF2495"/>
    <w:rsid w:val="00006FD7"/>
    <w:rsid w:val="0004220F"/>
    <w:rsid w:val="000542BD"/>
    <w:rsid w:val="00075EF3"/>
    <w:rsid w:val="000A2211"/>
    <w:rsid w:val="000A4B63"/>
    <w:rsid w:val="000B0608"/>
    <w:rsid w:val="000B37AE"/>
    <w:rsid w:val="000B667C"/>
    <w:rsid w:val="000E65B8"/>
    <w:rsid w:val="0012226D"/>
    <w:rsid w:val="001254EF"/>
    <w:rsid w:val="001457B2"/>
    <w:rsid w:val="00171842"/>
    <w:rsid w:val="001A4A26"/>
    <w:rsid w:val="001B0FCB"/>
    <w:rsid w:val="001C5037"/>
    <w:rsid w:val="001E3B4D"/>
    <w:rsid w:val="001E7FC3"/>
    <w:rsid w:val="001F2FAA"/>
    <w:rsid w:val="00232978"/>
    <w:rsid w:val="00240A3D"/>
    <w:rsid w:val="00241E96"/>
    <w:rsid w:val="002444C0"/>
    <w:rsid w:val="002651D2"/>
    <w:rsid w:val="00270265"/>
    <w:rsid w:val="002B4F3D"/>
    <w:rsid w:val="002C2D5D"/>
    <w:rsid w:val="002C2F0E"/>
    <w:rsid w:val="0031013F"/>
    <w:rsid w:val="0032684D"/>
    <w:rsid w:val="00364D5A"/>
    <w:rsid w:val="00366A42"/>
    <w:rsid w:val="00381C43"/>
    <w:rsid w:val="00384A30"/>
    <w:rsid w:val="00395E9A"/>
    <w:rsid w:val="003A28AB"/>
    <w:rsid w:val="003D3322"/>
    <w:rsid w:val="003D46FF"/>
    <w:rsid w:val="00412B31"/>
    <w:rsid w:val="00454D3C"/>
    <w:rsid w:val="00487F09"/>
    <w:rsid w:val="00491FC4"/>
    <w:rsid w:val="004A6B98"/>
    <w:rsid w:val="004B528D"/>
    <w:rsid w:val="00502275"/>
    <w:rsid w:val="00512315"/>
    <w:rsid w:val="005141B9"/>
    <w:rsid w:val="005424A2"/>
    <w:rsid w:val="00572D81"/>
    <w:rsid w:val="005B1A9E"/>
    <w:rsid w:val="005C582A"/>
    <w:rsid w:val="005D6E7E"/>
    <w:rsid w:val="00616E6F"/>
    <w:rsid w:val="00634528"/>
    <w:rsid w:val="0063791E"/>
    <w:rsid w:val="00640056"/>
    <w:rsid w:val="00670D0F"/>
    <w:rsid w:val="00680F18"/>
    <w:rsid w:val="00696452"/>
    <w:rsid w:val="006A1A6C"/>
    <w:rsid w:val="006C4ABD"/>
    <w:rsid w:val="006C515B"/>
    <w:rsid w:val="006F044D"/>
    <w:rsid w:val="0070562C"/>
    <w:rsid w:val="00734156"/>
    <w:rsid w:val="00734EC8"/>
    <w:rsid w:val="0074634E"/>
    <w:rsid w:val="0076261D"/>
    <w:rsid w:val="007A442A"/>
    <w:rsid w:val="007D3AD4"/>
    <w:rsid w:val="007E209B"/>
    <w:rsid w:val="00805130"/>
    <w:rsid w:val="00833AF9"/>
    <w:rsid w:val="008444F2"/>
    <w:rsid w:val="00873FA9"/>
    <w:rsid w:val="008B0D10"/>
    <w:rsid w:val="008C6131"/>
    <w:rsid w:val="008E5D86"/>
    <w:rsid w:val="00910361"/>
    <w:rsid w:val="009572CE"/>
    <w:rsid w:val="00963348"/>
    <w:rsid w:val="009F1746"/>
    <w:rsid w:val="009F2EC1"/>
    <w:rsid w:val="00A17C49"/>
    <w:rsid w:val="00A27A85"/>
    <w:rsid w:val="00A86D95"/>
    <w:rsid w:val="00AD77AE"/>
    <w:rsid w:val="00AF2D67"/>
    <w:rsid w:val="00AF67AB"/>
    <w:rsid w:val="00B65AE8"/>
    <w:rsid w:val="00B75808"/>
    <w:rsid w:val="00BC28CE"/>
    <w:rsid w:val="00BD7CC8"/>
    <w:rsid w:val="00BE514A"/>
    <w:rsid w:val="00C15161"/>
    <w:rsid w:val="00C3736E"/>
    <w:rsid w:val="00C50B01"/>
    <w:rsid w:val="00C514EB"/>
    <w:rsid w:val="00C674D6"/>
    <w:rsid w:val="00C87198"/>
    <w:rsid w:val="00CC22A2"/>
    <w:rsid w:val="00CC23D0"/>
    <w:rsid w:val="00CF74F7"/>
    <w:rsid w:val="00D00BA4"/>
    <w:rsid w:val="00D4471E"/>
    <w:rsid w:val="00D55E09"/>
    <w:rsid w:val="00D72E90"/>
    <w:rsid w:val="00DA39C3"/>
    <w:rsid w:val="00DD47F8"/>
    <w:rsid w:val="00DF2495"/>
    <w:rsid w:val="00DF451E"/>
    <w:rsid w:val="00E008FA"/>
    <w:rsid w:val="00E22B40"/>
    <w:rsid w:val="00E552F8"/>
    <w:rsid w:val="00E652A1"/>
    <w:rsid w:val="00E90C32"/>
    <w:rsid w:val="00E9477A"/>
    <w:rsid w:val="00EA560C"/>
    <w:rsid w:val="00EB6C39"/>
    <w:rsid w:val="00EB7DC2"/>
    <w:rsid w:val="00EC2E1E"/>
    <w:rsid w:val="00EC759B"/>
    <w:rsid w:val="00F07F1A"/>
    <w:rsid w:val="00F20045"/>
    <w:rsid w:val="00F22E88"/>
    <w:rsid w:val="00F63566"/>
    <w:rsid w:val="00F67467"/>
    <w:rsid w:val="00F72C7D"/>
    <w:rsid w:val="00F73825"/>
    <w:rsid w:val="00F80862"/>
    <w:rsid w:val="00FA185C"/>
    <w:rsid w:val="00FC13EE"/>
    <w:rsid w:val="00FD53DD"/>
    <w:rsid w:val="00FD795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08"/>
    <w:pPr>
      <w:spacing w:after="0"/>
    </w:pPr>
    <w:rPr>
      <w:rFonts w:ascii="Times New Roman" w:eastAsia="Times New Roman" w:hAnsi="Times New Roman" w:cs="Times New Roman"/>
      <w:iCs w:val="0"/>
      <w:color w:val="auto"/>
      <w:sz w:val="24"/>
      <w:szCs w:val="24"/>
      <w:lang w:val="es-ES" w:eastAsia="es-ES" w:bidi="ar-SA"/>
    </w:rPr>
  </w:style>
  <w:style w:type="paragraph" w:styleId="Ttulo1">
    <w:name w:val="heading 1"/>
    <w:basedOn w:val="Normal"/>
    <w:next w:val="Normal"/>
    <w:link w:val="Ttulo1Car"/>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nhideWhenUsed/>
    <w:qFormat/>
    <w:rsid w:val="00E652A1"/>
    <w:pPr>
      <w:pBdr>
        <w:bottom w:val="single" w:sz="4" w:space="1" w:color="622423" w:themeColor="accent2" w:themeShade="7F"/>
      </w:pBdr>
      <w:spacing w:before="400"/>
      <w:jc w:val="center"/>
      <w:outlineLvl w:val="1"/>
    </w:pPr>
    <w:rPr>
      <w:caps/>
      <w:color w:val="632423" w:themeColor="accent2" w:themeShade="80"/>
      <w:spacing w:val="15"/>
    </w:rPr>
  </w:style>
  <w:style w:type="paragraph" w:styleId="Ttulo3">
    <w:name w:val="heading 3"/>
    <w:basedOn w:val="Normal"/>
    <w:next w:val="Normal"/>
    <w:link w:val="Ttulo3Car"/>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rsid w:val="00E652A1"/>
    <w:rPr>
      <w:caps/>
      <w:color w:val="632423" w:themeColor="accent2" w:themeShade="80"/>
      <w:spacing w:val="15"/>
      <w:sz w:val="24"/>
      <w:szCs w:val="24"/>
    </w:rPr>
  </w:style>
  <w:style w:type="character" w:customStyle="1" w:styleId="Ttulo3Car">
    <w:name w:val="Título 3 Car"/>
    <w:basedOn w:val="Fuentedeprrafopredeter"/>
    <w:link w:val="Ttulo3"/>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character" w:styleId="Hipervnculo">
    <w:name w:val="Hyperlink"/>
    <w:basedOn w:val="Fuentedeprrafopredeter"/>
    <w:semiHidden/>
    <w:unhideWhenUsed/>
    <w:rsid w:val="00B75808"/>
    <w:rPr>
      <w:strike w:val="0"/>
      <w:dstrike w:val="0"/>
      <w:color w:val="0000FF"/>
      <w:u w:val="none"/>
      <w:effect w:val="none"/>
    </w:rPr>
  </w:style>
  <w:style w:type="paragraph" w:styleId="NormalWeb">
    <w:name w:val="Normal (Web)"/>
    <w:basedOn w:val="Normal"/>
    <w:semiHidden/>
    <w:unhideWhenUsed/>
    <w:rsid w:val="00B75808"/>
    <w:pPr>
      <w:spacing w:before="100" w:beforeAutospacing="1" w:after="100" w:afterAutospacing="1"/>
    </w:pPr>
  </w:style>
  <w:style w:type="character" w:customStyle="1" w:styleId="tocnumber">
    <w:name w:val="tocnumber"/>
    <w:basedOn w:val="Fuentedeprrafopredeter"/>
    <w:rsid w:val="00B75808"/>
  </w:style>
  <w:style w:type="character" w:customStyle="1" w:styleId="toctext">
    <w:name w:val="toctext"/>
    <w:basedOn w:val="Fuentedeprrafopredeter"/>
    <w:rsid w:val="00B75808"/>
  </w:style>
  <w:style w:type="character" w:customStyle="1" w:styleId="mw-headline">
    <w:name w:val="mw-headline"/>
    <w:basedOn w:val="Fuentedeprrafopredeter"/>
    <w:rsid w:val="00B75808"/>
  </w:style>
  <w:style w:type="paragraph" w:styleId="Textodeglobo">
    <w:name w:val="Balloon Text"/>
    <w:basedOn w:val="Normal"/>
    <w:link w:val="TextodegloboCar"/>
    <w:uiPriority w:val="99"/>
    <w:semiHidden/>
    <w:unhideWhenUsed/>
    <w:rsid w:val="00B75808"/>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808"/>
    <w:rPr>
      <w:rFonts w:ascii="Tahoma" w:eastAsia="Times New Roman" w:hAnsi="Tahoma" w:cs="Tahoma"/>
      <w:iCs w:val="0"/>
      <w:color w:val="auto"/>
      <w:sz w:val="16"/>
      <w:szCs w:val="16"/>
      <w:lang w:val="es-ES" w:eastAsia="es-ES" w:bidi="ar-SA"/>
    </w:rPr>
  </w:style>
  <w:style w:type="paragraph" w:styleId="Encabezado">
    <w:name w:val="header"/>
    <w:basedOn w:val="Normal"/>
    <w:link w:val="EncabezadoCar"/>
    <w:uiPriority w:val="99"/>
    <w:unhideWhenUsed/>
    <w:rsid w:val="00B75808"/>
    <w:pPr>
      <w:tabs>
        <w:tab w:val="center" w:pos="4252"/>
        <w:tab w:val="right" w:pos="8504"/>
      </w:tabs>
    </w:pPr>
  </w:style>
  <w:style w:type="character" w:customStyle="1" w:styleId="EncabezadoCar">
    <w:name w:val="Encabezado Car"/>
    <w:basedOn w:val="Fuentedeprrafopredeter"/>
    <w:link w:val="Encabezado"/>
    <w:uiPriority w:val="99"/>
    <w:rsid w:val="00B75808"/>
    <w:rPr>
      <w:rFonts w:ascii="Times New Roman" w:eastAsia="Times New Roman" w:hAnsi="Times New Roman" w:cs="Times New Roman"/>
      <w:iCs w:val="0"/>
      <w:color w:val="auto"/>
      <w:sz w:val="24"/>
      <w:szCs w:val="24"/>
      <w:lang w:val="es-ES" w:eastAsia="es-ES" w:bidi="ar-SA"/>
    </w:rPr>
  </w:style>
  <w:style w:type="paragraph" w:styleId="Piedepgina">
    <w:name w:val="footer"/>
    <w:basedOn w:val="Normal"/>
    <w:link w:val="PiedepginaCar"/>
    <w:uiPriority w:val="99"/>
    <w:semiHidden/>
    <w:unhideWhenUsed/>
    <w:rsid w:val="00B75808"/>
    <w:pPr>
      <w:tabs>
        <w:tab w:val="center" w:pos="4252"/>
        <w:tab w:val="right" w:pos="8504"/>
      </w:tabs>
    </w:pPr>
  </w:style>
  <w:style w:type="character" w:customStyle="1" w:styleId="PiedepginaCar">
    <w:name w:val="Pie de página Car"/>
    <w:basedOn w:val="Fuentedeprrafopredeter"/>
    <w:link w:val="Piedepgina"/>
    <w:uiPriority w:val="99"/>
    <w:semiHidden/>
    <w:rsid w:val="00B75808"/>
    <w:rPr>
      <w:rFonts w:ascii="Times New Roman" w:eastAsia="Times New Roman" w:hAnsi="Times New Roman" w:cs="Times New Roman"/>
      <w:iCs w:val="0"/>
      <w:color w:val="auto"/>
      <w:sz w:val="24"/>
      <w:szCs w:val="24"/>
      <w:lang w:val="es-ES" w:eastAsia="es-ES" w:bidi="ar-SA"/>
    </w:rPr>
  </w:style>
</w:styles>
</file>

<file path=word/webSettings.xml><?xml version="1.0" encoding="utf-8"?>
<w:webSettings xmlns:r="http://schemas.openxmlformats.org/officeDocument/2006/relationships" xmlns:w="http://schemas.openxmlformats.org/wordprocessingml/2006/main">
  <w:divs>
    <w:div w:id="16929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ostrum.com/insbil/index.php?lang=es-ca&amp;palabra=recuperac&#237;&#243;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nostrum.com/insbil/index.php?lang=es-ca&amp;palabra=confiabl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nternostrum.com/insbil/index.php?lang=es-ca&amp;palabra=creditico" TargetMode="External"/><Relationship Id="rId4" Type="http://schemas.openxmlformats.org/officeDocument/2006/relationships/webSettings" Target="webSettings.xml"/><Relationship Id="rId9" Type="http://schemas.openxmlformats.org/officeDocument/2006/relationships/hyperlink" Target="http://www.internostrum.com/insbil/index.php?lang=es-ca&amp;palabra=rating"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618</Words>
  <Characters>3402</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3</cp:revision>
  <dcterms:created xsi:type="dcterms:W3CDTF">2008-08-16T16:40:00Z</dcterms:created>
  <dcterms:modified xsi:type="dcterms:W3CDTF">2008-08-16T16:53:00Z</dcterms:modified>
</cp:coreProperties>
</file>